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1913" w:rsidRPr="00210061" w:rsidRDefault="00301913" w:rsidP="00210061">
      <w:pPr>
        <w:spacing w:line="480" w:lineRule="auto"/>
        <w:rPr>
          <w:rFonts w:ascii="Times New Roman" w:hAnsi="Times New Roman" w:cs="Times New Roman"/>
          <w:sz w:val="24"/>
          <w:szCs w:val="24"/>
        </w:rPr>
      </w:pPr>
      <w:r w:rsidRPr="00210061">
        <w:rPr>
          <w:rFonts w:ascii="Times New Roman" w:hAnsi="Times New Roman" w:cs="Times New Roman"/>
          <w:sz w:val="24"/>
          <w:szCs w:val="24"/>
        </w:rPr>
        <w:t>Name:</w:t>
      </w:r>
    </w:p>
    <w:p w:rsidR="00301913" w:rsidRPr="00210061" w:rsidRDefault="00301913" w:rsidP="00210061">
      <w:pPr>
        <w:spacing w:line="480" w:lineRule="auto"/>
        <w:rPr>
          <w:rFonts w:ascii="Times New Roman" w:hAnsi="Times New Roman" w:cs="Times New Roman"/>
          <w:sz w:val="24"/>
          <w:szCs w:val="24"/>
        </w:rPr>
      </w:pPr>
      <w:r w:rsidRPr="00210061">
        <w:rPr>
          <w:rFonts w:ascii="Times New Roman" w:hAnsi="Times New Roman" w:cs="Times New Roman"/>
          <w:sz w:val="24"/>
          <w:szCs w:val="24"/>
        </w:rPr>
        <w:t>Course:</w:t>
      </w:r>
    </w:p>
    <w:p w:rsidR="00301913" w:rsidRPr="00210061" w:rsidRDefault="00301913" w:rsidP="00210061">
      <w:pPr>
        <w:spacing w:line="480" w:lineRule="auto"/>
        <w:rPr>
          <w:rFonts w:ascii="Times New Roman" w:hAnsi="Times New Roman" w:cs="Times New Roman"/>
          <w:sz w:val="24"/>
          <w:szCs w:val="24"/>
        </w:rPr>
      </w:pPr>
      <w:r w:rsidRPr="00210061">
        <w:rPr>
          <w:rFonts w:ascii="Times New Roman" w:hAnsi="Times New Roman" w:cs="Times New Roman"/>
          <w:sz w:val="24"/>
          <w:szCs w:val="24"/>
        </w:rPr>
        <w:t>Professor:</w:t>
      </w:r>
    </w:p>
    <w:p w:rsidR="00301913" w:rsidRPr="00210061" w:rsidRDefault="00301913" w:rsidP="00210061">
      <w:pPr>
        <w:spacing w:line="480" w:lineRule="auto"/>
        <w:rPr>
          <w:rFonts w:ascii="Times New Roman" w:hAnsi="Times New Roman" w:cs="Times New Roman"/>
          <w:sz w:val="24"/>
          <w:szCs w:val="24"/>
        </w:rPr>
      </w:pPr>
      <w:r w:rsidRPr="00210061">
        <w:rPr>
          <w:rFonts w:ascii="Times New Roman" w:hAnsi="Times New Roman" w:cs="Times New Roman"/>
          <w:sz w:val="24"/>
          <w:szCs w:val="24"/>
        </w:rPr>
        <w:t>Date:</w:t>
      </w:r>
    </w:p>
    <w:p w:rsidR="00301913" w:rsidRPr="00210061" w:rsidRDefault="00301913" w:rsidP="00210061">
      <w:pPr>
        <w:spacing w:line="480" w:lineRule="auto"/>
        <w:jc w:val="center"/>
        <w:rPr>
          <w:rFonts w:ascii="Times New Roman" w:hAnsi="Times New Roman" w:cs="Times New Roman"/>
          <w:b/>
          <w:sz w:val="24"/>
          <w:szCs w:val="24"/>
        </w:rPr>
      </w:pPr>
      <w:r w:rsidRPr="00210061">
        <w:rPr>
          <w:rFonts w:ascii="Times New Roman" w:hAnsi="Times New Roman" w:cs="Times New Roman"/>
          <w:b/>
          <w:sz w:val="24"/>
          <w:szCs w:val="24"/>
        </w:rPr>
        <w:t>Drama Analysis in Trifles by Susan Glaspell</w:t>
      </w:r>
    </w:p>
    <w:p w:rsidR="00301913" w:rsidRPr="00210061" w:rsidRDefault="00301913" w:rsidP="00210061">
      <w:pPr>
        <w:spacing w:line="480" w:lineRule="auto"/>
        <w:ind w:firstLine="720"/>
        <w:rPr>
          <w:rFonts w:ascii="Times New Roman" w:hAnsi="Times New Roman" w:cs="Times New Roman"/>
          <w:sz w:val="24"/>
          <w:szCs w:val="24"/>
        </w:rPr>
      </w:pPr>
      <w:r w:rsidRPr="00210061">
        <w:rPr>
          <w:rFonts w:ascii="Times New Roman" w:hAnsi="Times New Roman" w:cs="Times New Roman"/>
          <w:sz w:val="24"/>
          <w:szCs w:val="24"/>
        </w:rPr>
        <w:t>The Drama, Trifles was writte</w:t>
      </w:r>
      <w:bookmarkStart w:id="0" w:name="_GoBack"/>
      <w:bookmarkEnd w:id="0"/>
      <w:r w:rsidRPr="00210061">
        <w:rPr>
          <w:rFonts w:ascii="Times New Roman" w:hAnsi="Times New Roman" w:cs="Times New Roman"/>
          <w:sz w:val="24"/>
          <w:szCs w:val="24"/>
        </w:rPr>
        <w:t xml:space="preserve">n in 1916 by Susan Glaspell and is a reflection of the writer’s preoccupation with notions about cultural treatment towards men and women and gender roles in the society. Trifle title is a suggestion of how women rights are violated and the way they are not given priority in society. As the title suggests, women are not seen as equals to men, and their issues are considered unimportant most of the times. In the drama, Glaspell questions confinement, injustice, male domination and the comparative value of people perspectives towards male and female through an exciting scene of one male and one female narrative. </w:t>
      </w:r>
    </w:p>
    <w:p w:rsidR="00301913" w:rsidRPr="00210061" w:rsidRDefault="00301913" w:rsidP="00210061">
      <w:pPr>
        <w:spacing w:line="480" w:lineRule="auto"/>
        <w:ind w:firstLine="720"/>
        <w:rPr>
          <w:rFonts w:ascii="Times New Roman" w:hAnsi="Times New Roman" w:cs="Times New Roman"/>
          <w:sz w:val="24"/>
          <w:szCs w:val="24"/>
        </w:rPr>
      </w:pPr>
      <w:r w:rsidRPr="00210061">
        <w:rPr>
          <w:rFonts w:ascii="Times New Roman" w:hAnsi="Times New Roman" w:cs="Times New Roman"/>
          <w:sz w:val="24"/>
          <w:szCs w:val="24"/>
        </w:rPr>
        <w:t>The play takes place in a unified plot despite there being the presence of verbal reminders of the events that unfolded on the murder day of John Wright. The tension-filled drama takes place in a single day and Wrights wife is considered as the main suspect in the murder, and an investigation is being carried out to determine the motive of the assassination. The first audience in the scene is introduced as Sheriff, Mr. Hale together with County Attorney. They are seen carrying out thorough investigations to the murder scene. Two women, Mrs. Hale and Mrs. Peters, also join them and start collecting the items Wright’s wife could need in imprisonment. The play also turns ironic when the County Attorney says “this feels good. Come up to the fire ladies” (356).</w:t>
      </w:r>
    </w:p>
    <w:p w:rsidR="00301913" w:rsidRPr="00210061" w:rsidRDefault="00301913" w:rsidP="00210061">
      <w:pPr>
        <w:spacing w:line="480" w:lineRule="auto"/>
        <w:ind w:firstLine="720"/>
        <w:rPr>
          <w:rFonts w:ascii="Times New Roman" w:hAnsi="Times New Roman" w:cs="Times New Roman"/>
          <w:sz w:val="24"/>
          <w:szCs w:val="24"/>
        </w:rPr>
      </w:pPr>
      <w:r w:rsidRPr="00210061">
        <w:rPr>
          <w:rFonts w:ascii="Times New Roman" w:hAnsi="Times New Roman" w:cs="Times New Roman"/>
          <w:sz w:val="24"/>
          <w:szCs w:val="24"/>
        </w:rPr>
        <w:lastRenderedPageBreak/>
        <w:t xml:space="preserve">Mrs. Peters appears to be the antagonist in this case while Mrs. Hale acts as the protagonist. Mrs. Peter feels that Mrs. Wright is innocent until proven guilty and therefore encourages the men to gather enough evidence that can show she murdered the husband. On the other hand, Mrs. Hale has hard feelings about seeing the three men "sneaking" and "snooping” (357) in the house and even raises the issue of male stereotype female. She also resents not visiting Wright's farmhouse many times. Glaspell invites the reader to question not only the sex roles but also the mutual understanding of human beings in their narratives. The two women do not appear to protect their female counterpart Mrs. Write by her being a fellow gender mate. Mrs. Peter argues that “law is the law” (358) which is enough evidence to support that the claim. She is not sympathetic to Mrs. Wright if at all the law will incriminate her for her wrongdoings if found guilty. Mrs. Hale, on the other hand, shows sympathy To Wright’s wife by their shared gender and societal position. She says that women have been neglected by society. When the two women visit Wright’s home, they are initially open-minded about the murder since they have no motive of making any discoveries that would play vital to the case. </w:t>
      </w:r>
    </w:p>
    <w:p w:rsidR="00301913" w:rsidRPr="00210061" w:rsidRDefault="00301913" w:rsidP="00210061">
      <w:pPr>
        <w:spacing w:line="480" w:lineRule="auto"/>
        <w:ind w:firstLine="720"/>
        <w:rPr>
          <w:rFonts w:ascii="Times New Roman" w:hAnsi="Times New Roman" w:cs="Times New Roman"/>
          <w:sz w:val="24"/>
          <w:szCs w:val="24"/>
        </w:rPr>
      </w:pPr>
      <w:r w:rsidRPr="00210061">
        <w:rPr>
          <w:rFonts w:ascii="Times New Roman" w:hAnsi="Times New Roman" w:cs="Times New Roman"/>
          <w:sz w:val="24"/>
          <w:szCs w:val="24"/>
        </w:rPr>
        <w:t xml:space="preserve">However, the climax of the drama reaches when the women discover a void birdcage having a broken hinge. Both have speculations as to why the birdcage was empty and around this time Mrs. Hale narrates how Mrs. Wright was when they were both unmarried to Mrs. Peters. She describes Mrs. Wright as Minnie Foster, a beautiful songstress whose life changed drastically when she got married to Mr. Wright. Sooner, Mrs. Hale discovers a lifeless bird in suspect’s sewing box. The two women consider this as valuable evidence and try to construct a meaningful narrative around it. The two women now believe that Mr. Wright was a cruel man who silenced his wife and used cold actions to manipulate the wife to what he thought she should have been. They then realized that that was enough motivation for Mrs. Wright to have wanted to </w:t>
      </w:r>
      <w:r w:rsidRPr="00210061">
        <w:rPr>
          <w:rFonts w:ascii="Times New Roman" w:hAnsi="Times New Roman" w:cs="Times New Roman"/>
          <w:sz w:val="24"/>
          <w:szCs w:val="24"/>
        </w:rPr>
        <w:lastRenderedPageBreak/>
        <w:t xml:space="preserve">kill her husband. They felt that Mr. Wright had killed the singing bird to control the songstress who is why Mrs. Wright could have killed him. By executing the singing bird, it would symbolize stopping his wife from her song spirit and caging her into a lifestyle of his choice. The women believed that Mrs. Wright was left no choice but to terminate what was keeping her a prisoner. </w:t>
      </w:r>
    </w:p>
    <w:p w:rsidR="00301913" w:rsidRPr="00210061" w:rsidRDefault="00301913" w:rsidP="00210061">
      <w:pPr>
        <w:spacing w:line="480" w:lineRule="auto"/>
        <w:ind w:firstLine="720"/>
        <w:rPr>
          <w:rFonts w:ascii="Times New Roman" w:hAnsi="Times New Roman" w:cs="Times New Roman"/>
          <w:sz w:val="24"/>
          <w:szCs w:val="24"/>
        </w:rPr>
      </w:pPr>
      <w:r w:rsidRPr="00210061">
        <w:rPr>
          <w:rFonts w:ascii="Times New Roman" w:hAnsi="Times New Roman" w:cs="Times New Roman"/>
          <w:sz w:val="24"/>
          <w:szCs w:val="24"/>
        </w:rPr>
        <w:t xml:space="preserve">The two women on discovering the evidence, emphasize with Wright’s wife pain and choose abruptly without giving it much thought that they must cover the evidence to try and help her out of the crime. They somehow feel that such a cold man deserved the kind of treatment he received. County Attorney and the Sheriff would have a different interpretation of the law through their professionalism and their overall understanding as human beings. </w:t>
      </w:r>
    </w:p>
    <w:p w:rsidR="00301913" w:rsidRPr="00210061" w:rsidRDefault="00301913" w:rsidP="00210061">
      <w:pPr>
        <w:spacing w:line="480" w:lineRule="auto"/>
        <w:ind w:firstLine="720"/>
        <w:rPr>
          <w:rFonts w:ascii="Times New Roman" w:hAnsi="Times New Roman" w:cs="Times New Roman"/>
          <w:sz w:val="24"/>
          <w:szCs w:val="24"/>
        </w:rPr>
      </w:pPr>
      <w:r w:rsidRPr="00210061">
        <w:rPr>
          <w:rFonts w:ascii="Times New Roman" w:hAnsi="Times New Roman" w:cs="Times New Roman"/>
          <w:sz w:val="24"/>
          <w:szCs w:val="24"/>
        </w:rPr>
        <w:t xml:space="preserve">The drama in Trifles looks simple to understand which can deceive the reader into believing some parts of the scene are insignificant. Someone might think that Glaspell work is all about gender roles and perspectives. However, keen analysis of the play gives the reader an extensive understanding of social divisions arising from strict gender roles that hinder women from acting as equals to the men. </w:t>
      </w:r>
    </w:p>
    <w:p w:rsidR="00301913" w:rsidRPr="00210061" w:rsidRDefault="00301913" w:rsidP="00210061">
      <w:pPr>
        <w:spacing w:line="480" w:lineRule="auto"/>
        <w:rPr>
          <w:rFonts w:ascii="Times New Roman" w:hAnsi="Times New Roman" w:cs="Times New Roman"/>
          <w:sz w:val="24"/>
          <w:szCs w:val="24"/>
        </w:rPr>
      </w:pPr>
      <w:r w:rsidRPr="00210061">
        <w:rPr>
          <w:rFonts w:ascii="Times New Roman" w:hAnsi="Times New Roman" w:cs="Times New Roman"/>
          <w:sz w:val="24"/>
          <w:szCs w:val="24"/>
        </w:rPr>
        <w:br w:type="page"/>
      </w:r>
    </w:p>
    <w:p w:rsidR="00301913" w:rsidRPr="00210061" w:rsidRDefault="00210061" w:rsidP="00210061">
      <w:pPr>
        <w:spacing w:line="480" w:lineRule="auto"/>
        <w:jc w:val="center"/>
        <w:rPr>
          <w:rFonts w:ascii="Times New Roman" w:hAnsi="Times New Roman" w:cs="Times New Roman"/>
          <w:sz w:val="24"/>
          <w:szCs w:val="24"/>
        </w:rPr>
      </w:pPr>
      <w:r w:rsidRPr="00210061">
        <w:rPr>
          <w:rFonts w:ascii="Times New Roman" w:hAnsi="Times New Roman" w:cs="Times New Roman"/>
          <w:sz w:val="24"/>
          <w:szCs w:val="24"/>
        </w:rPr>
        <w:lastRenderedPageBreak/>
        <w:t>Works Cited</w:t>
      </w:r>
    </w:p>
    <w:p w:rsidR="00210061" w:rsidRPr="00210061" w:rsidRDefault="00210061" w:rsidP="00210061">
      <w:pPr>
        <w:spacing w:line="480" w:lineRule="auto"/>
        <w:ind w:left="720" w:hanging="720"/>
        <w:rPr>
          <w:rFonts w:ascii="Times New Roman" w:hAnsi="Times New Roman" w:cs="Times New Roman"/>
          <w:sz w:val="24"/>
          <w:szCs w:val="24"/>
        </w:rPr>
      </w:pPr>
      <w:r w:rsidRPr="00210061">
        <w:rPr>
          <w:rFonts w:ascii="Times New Roman" w:hAnsi="Times New Roman" w:cs="Times New Roman"/>
          <w:color w:val="222222"/>
          <w:sz w:val="24"/>
          <w:szCs w:val="24"/>
          <w:shd w:val="clear" w:color="auto" w:fill="FFFFFF"/>
        </w:rPr>
        <w:t>Jouve, Emeline. </w:t>
      </w:r>
      <w:r w:rsidRPr="00210061">
        <w:rPr>
          <w:rFonts w:ascii="Times New Roman" w:hAnsi="Times New Roman" w:cs="Times New Roman"/>
          <w:i/>
          <w:iCs/>
          <w:color w:val="222222"/>
          <w:sz w:val="24"/>
          <w:szCs w:val="24"/>
          <w:shd w:val="clear" w:color="auto" w:fill="FFFFFF"/>
        </w:rPr>
        <w:t>Susan Glaspell's Poetics and Politics of Rebellion</w:t>
      </w:r>
      <w:r w:rsidRPr="00210061">
        <w:rPr>
          <w:rFonts w:ascii="Times New Roman" w:hAnsi="Times New Roman" w:cs="Times New Roman"/>
          <w:color w:val="222222"/>
          <w:sz w:val="24"/>
          <w:szCs w:val="24"/>
          <w:shd w:val="clear" w:color="auto" w:fill="FFFFFF"/>
        </w:rPr>
        <w:t>. University of Iowa Press, 2017.</w:t>
      </w:r>
    </w:p>
    <w:p w:rsidR="00301913" w:rsidRPr="00210061" w:rsidRDefault="00301913" w:rsidP="00210061">
      <w:pPr>
        <w:spacing w:line="480" w:lineRule="auto"/>
        <w:rPr>
          <w:rFonts w:ascii="Times New Roman" w:hAnsi="Times New Roman" w:cs="Times New Roman"/>
          <w:sz w:val="24"/>
          <w:szCs w:val="24"/>
        </w:rPr>
      </w:pPr>
    </w:p>
    <w:p w:rsidR="00301913" w:rsidRPr="00210061" w:rsidRDefault="00301913" w:rsidP="00210061">
      <w:pPr>
        <w:spacing w:line="480" w:lineRule="auto"/>
        <w:rPr>
          <w:rFonts w:ascii="Times New Roman" w:hAnsi="Times New Roman" w:cs="Times New Roman"/>
          <w:sz w:val="24"/>
          <w:szCs w:val="24"/>
        </w:rPr>
      </w:pPr>
    </w:p>
    <w:p w:rsidR="00301913" w:rsidRPr="00210061" w:rsidRDefault="00301913" w:rsidP="00210061">
      <w:pPr>
        <w:spacing w:line="480" w:lineRule="auto"/>
        <w:rPr>
          <w:rFonts w:ascii="Times New Roman" w:hAnsi="Times New Roman" w:cs="Times New Roman"/>
          <w:sz w:val="24"/>
          <w:szCs w:val="24"/>
        </w:rPr>
      </w:pPr>
    </w:p>
    <w:p w:rsidR="00301913" w:rsidRPr="00210061" w:rsidRDefault="00301913" w:rsidP="00210061">
      <w:pPr>
        <w:spacing w:line="480" w:lineRule="auto"/>
        <w:rPr>
          <w:rFonts w:ascii="Times New Roman" w:hAnsi="Times New Roman" w:cs="Times New Roman"/>
          <w:sz w:val="24"/>
          <w:szCs w:val="24"/>
        </w:rPr>
      </w:pPr>
    </w:p>
    <w:p w:rsidR="001D7BA0" w:rsidRPr="00210061" w:rsidRDefault="001D7BA0" w:rsidP="00210061">
      <w:pPr>
        <w:spacing w:line="480" w:lineRule="auto"/>
        <w:rPr>
          <w:rFonts w:ascii="Times New Roman" w:hAnsi="Times New Roman" w:cs="Times New Roman"/>
          <w:sz w:val="24"/>
          <w:szCs w:val="24"/>
        </w:rPr>
      </w:pPr>
    </w:p>
    <w:sectPr w:rsidR="001D7BA0" w:rsidRPr="0021006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4155" w:rsidRDefault="00CD4155" w:rsidP="00210061">
      <w:pPr>
        <w:spacing w:after="0" w:line="240" w:lineRule="auto"/>
      </w:pPr>
      <w:r>
        <w:separator/>
      </w:r>
    </w:p>
  </w:endnote>
  <w:endnote w:type="continuationSeparator" w:id="0">
    <w:p w:rsidR="00CD4155" w:rsidRDefault="00CD4155" w:rsidP="002100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4155" w:rsidRDefault="00CD4155" w:rsidP="00210061">
      <w:pPr>
        <w:spacing w:after="0" w:line="240" w:lineRule="auto"/>
      </w:pPr>
      <w:r>
        <w:separator/>
      </w:r>
    </w:p>
  </w:footnote>
  <w:footnote w:type="continuationSeparator" w:id="0">
    <w:p w:rsidR="00CD4155" w:rsidRDefault="00CD4155" w:rsidP="002100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061" w:rsidRPr="00210061" w:rsidRDefault="00210061">
    <w:pPr>
      <w:pStyle w:val="Header"/>
      <w:jc w:val="right"/>
      <w:rPr>
        <w:rFonts w:ascii="Times New Roman" w:hAnsi="Times New Roman" w:cs="Times New Roman"/>
        <w:sz w:val="24"/>
        <w:szCs w:val="24"/>
      </w:rPr>
    </w:pPr>
    <w:r w:rsidRPr="00210061">
      <w:rPr>
        <w:rFonts w:ascii="Times New Roman" w:hAnsi="Times New Roman" w:cs="Times New Roman"/>
        <w:sz w:val="24"/>
        <w:szCs w:val="24"/>
      </w:rPr>
      <w:t xml:space="preserve">Surname </w:t>
    </w:r>
    <w:sdt>
      <w:sdtPr>
        <w:rPr>
          <w:rFonts w:ascii="Times New Roman" w:hAnsi="Times New Roman" w:cs="Times New Roman"/>
          <w:sz w:val="24"/>
          <w:szCs w:val="24"/>
        </w:rPr>
        <w:id w:val="454306072"/>
        <w:docPartObj>
          <w:docPartGallery w:val="Page Numbers (Top of Page)"/>
          <w:docPartUnique/>
        </w:docPartObj>
      </w:sdtPr>
      <w:sdtEndPr>
        <w:rPr>
          <w:noProof/>
        </w:rPr>
      </w:sdtEndPr>
      <w:sdtContent>
        <w:r w:rsidRPr="00210061">
          <w:rPr>
            <w:rFonts w:ascii="Times New Roman" w:hAnsi="Times New Roman" w:cs="Times New Roman"/>
            <w:sz w:val="24"/>
            <w:szCs w:val="24"/>
          </w:rPr>
          <w:fldChar w:fldCharType="begin"/>
        </w:r>
        <w:r w:rsidRPr="00210061">
          <w:rPr>
            <w:rFonts w:ascii="Times New Roman" w:hAnsi="Times New Roman" w:cs="Times New Roman"/>
            <w:sz w:val="24"/>
            <w:szCs w:val="24"/>
          </w:rPr>
          <w:instrText xml:space="preserve"> PAGE   \* MERGEFORMAT </w:instrText>
        </w:r>
        <w:r w:rsidRPr="00210061">
          <w:rPr>
            <w:rFonts w:ascii="Times New Roman" w:hAnsi="Times New Roman" w:cs="Times New Roman"/>
            <w:sz w:val="24"/>
            <w:szCs w:val="24"/>
          </w:rPr>
          <w:fldChar w:fldCharType="separate"/>
        </w:r>
        <w:r>
          <w:rPr>
            <w:rFonts w:ascii="Times New Roman" w:hAnsi="Times New Roman" w:cs="Times New Roman"/>
            <w:noProof/>
            <w:sz w:val="24"/>
            <w:szCs w:val="24"/>
          </w:rPr>
          <w:t>4</w:t>
        </w:r>
        <w:r w:rsidRPr="00210061">
          <w:rPr>
            <w:rFonts w:ascii="Times New Roman" w:hAnsi="Times New Roman" w:cs="Times New Roman"/>
            <w:noProof/>
            <w:sz w:val="24"/>
            <w:szCs w:val="24"/>
          </w:rPr>
          <w:fldChar w:fldCharType="end"/>
        </w:r>
      </w:sdtContent>
    </w:sdt>
  </w:p>
  <w:p w:rsidR="00210061" w:rsidRDefault="002100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BA0"/>
    <w:rsid w:val="00121B08"/>
    <w:rsid w:val="001D7BA0"/>
    <w:rsid w:val="00210061"/>
    <w:rsid w:val="00301913"/>
    <w:rsid w:val="00366D1B"/>
    <w:rsid w:val="0037690A"/>
    <w:rsid w:val="003A0DF0"/>
    <w:rsid w:val="0046205E"/>
    <w:rsid w:val="00555526"/>
    <w:rsid w:val="00682A77"/>
    <w:rsid w:val="007C6920"/>
    <w:rsid w:val="008D1329"/>
    <w:rsid w:val="00B963DC"/>
    <w:rsid w:val="00CD4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6737AC-CDE3-4A95-BCDD-700CFAC4B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0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061"/>
  </w:style>
  <w:style w:type="paragraph" w:styleId="Footer">
    <w:name w:val="footer"/>
    <w:basedOn w:val="Normal"/>
    <w:link w:val="FooterChar"/>
    <w:uiPriority w:val="99"/>
    <w:unhideWhenUsed/>
    <w:rsid w:val="002100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0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4</Pages>
  <Words>896</Words>
  <Characters>4055</Characters>
  <Application>Microsoft Office Word</Application>
  <DocSecurity>0</DocSecurity>
  <Lines>57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2019-03-24T21:01:00Z</dcterms:created>
  <dcterms:modified xsi:type="dcterms:W3CDTF">2019-03-24T22:54:00Z</dcterms:modified>
</cp:coreProperties>
</file>